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hint="default"/>
          <w:b/>
          <w:bCs/>
          <w:i/>
          <w:iCs/>
          <w:u w:val="single"/>
          <w:lang w:val="en-GB"/>
        </w:rPr>
      </w:pPr>
      <w:r>
        <w:rPr>
          <w:rFonts w:hint="default"/>
          <w:b/>
          <w:bCs/>
          <w:i/>
          <w:iCs/>
          <w:u w:val="single"/>
          <w:lang w:val="en-GB"/>
        </w:rPr>
        <w:t>GASTRO-INTESTINAL MEDICATION.</w:t>
      </w:r>
    </w:p>
    <w:p>
      <w:pPr>
        <w:pStyle w:val="style0"/>
        <w:spacing w:lineRule="auto" w:line="480"/>
        <w:rPr>
          <w:rFonts w:hint="default"/>
          <w:b w:val="false"/>
          <w:bCs w:val="false"/>
          <w:i w:val="false"/>
          <w:iCs w:val="false"/>
          <w:u w:val="none"/>
          <w:lang w:val="en-GB"/>
        </w:rPr>
      </w:pPr>
      <w:r>
        <w:rPr>
          <w:rFonts w:hint="default"/>
          <w:b/>
          <w:bCs/>
          <w:i/>
          <w:iCs/>
          <w:u w:val="single"/>
          <w:lang w:val="en-GB"/>
        </w:rPr>
        <w:t xml:space="preserve">Medication name- </w:t>
      </w:r>
      <w:r>
        <w:rPr>
          <w:rFonts w:hint="default"/>
          <w:b w:val="false"/>
          <w:bCs w:val="false"/>
          <w:i w:val="false"/>
          <w:iCs w:val="false"/>
          <w:u w:val="none"/>
          <w:lang w:val="en-GB"/>
        </w:rPr>
        <w:t>Omeprazole.</w:t>
      </w:r>
    </w:p>
    <w:p>
      <w:pPr>
        <w:pStyle w:val="style0"/>
        <w:spacing w:lineRule="auto" w:line="480"/>
        <w:rPr>
          <w:rFonts w:hint="default"/>
          <w:b w:val="false"/>
          <w:bCs w:val="false"/>
          <w:i w:val="false"/>
          <w:iCs w:val="false"/>
          <w:u w:val="none"/>
          <w:lang w:val="en-GB"/>
        </w:rPr>
      </w:pPr>
      <w:r>
        <w:rPr>
          <w:rFonts w:hint="default"/>
          <w:b/>
          <w:bCs/>
          <w:i/>
          <w:iCs/>
          <w:u w:val="single"/>
          <w:lang w:val="en-GB"/>
        </w:rPr>
        <w:t>Pharmacological Classification</w:t>
      </w:r>
      <w:r>
        <w:rPr>
          <w:rFonts w:hint="default"/>
          <w:b w:val="false"/>
          <w:bCs w:val="false"/>
          <w:i w:val="false"/>
          <w:iCs w:val="false"/>
          <w:u w:val="none"/>
          <w:lang w:val="en-GB"/>
        </w:rPr>
        <w:t>- Proton Pump Inhibitor</w:t>
      </w:r>
    </w:p>
    <w:p>
      <w:pPr>
        <w:pStyle w:val="style0"/>
        <w:spacing w:lineRule="auto" w:line="480"/>
        <w:rPr>
          <w:rFonts w:hint="default"/>
          <w:b/>
          <w:bCs/>
          <w:i/>
          <w:iCs/>
          <w:u w:val="single"/>
          <w:lang w:val="en-GB"/>
        </w:rPr>
      </w:pPr>
      <w:r>
        <w:rPr>
          <w:rFonts w:hint="default"/>
          <w:b/>
          <w:bCs/>
          <w:i/>
          <w:iCs/>
          <w:u w:val="single"/>
          <w:lang w:val="en-GB"/>
        </w:rPr>
        <w:t>Indications and clinical Usage-</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Stress induced ulcers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Prophylaxis for erosive esophagitis </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Prophylaxis for active duodenal ulcer treatment</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Zollinger-Ellinson Syndrome</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GERD  </w:t>
      </w:r>
    </w:p>
    <w:p>
      <w:pPr>
        <w:pStyle w:val="style0"/>
        <w:spacing w:lineRule="auto" w:line="480"/>
        <w:rPr>
          <w:rFonts w:hint="default"/>
          <w:b/>
          <w:bCs/>
          <w:i/>
          <w:iCs/>
          <w:u w:val="single"/>
          <w:lang w:val="en-GB"/>
        </w:rPr>
      </w:pPr>
      <w:r>
        <w:rPr>
          <w:rFonts w:hint="default"/>
          <w:b/>
          <w:bCs/>
          <w:i/>
          <w:iCs/>
          <w:u w:val="single"/>
          <w:lang w:val="en-GB"/>
        </w:rPr>
        <w:t>Recommended indications and clinical usage-</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Recommended in therapeutic interventions that require inhibition of gastric acid secretion  </w:t>
      </w:r>
    </w:p>
    <w:p>
      <w:pPr>
        <w:pStyle w:val="style0"/>
        <w:spacing w:lineRule="auto" w:line="480"/>
        <w:rPr>
          <w:rFonts w:hint="default"/>
          <w:b/>
          <w:bCs/>
          <w:i/>
          <w:iCs/>
          <w:u w:val="single"/>
          <w:lang w:val="en-GB"/>
        </w:rPr>
      </w:pPr>
      <w:r>
        <w:rPr>
          <w:rFonts w:hint="default"/>
          <w:b/>
          <w:bCs/>
          <w:i/>
          <w:iCs/>
          <w:u w:val="single"/>
          <w:lang w:val="en-GB"/>
        </w:rPr>
        <w:t>Specific procedures/Protocols for use-.</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Preferably taken before breakfast or a heavy meal.</w:t>
      </w:r>
    </w:p>
    <w:p>
      <w:pPr>
        <w:pStyle w:val="style0"/>
        <w:spacing w:lineRule="auto" w:line="480"/>
        <w:rPr>
          <w:rFonts w:hint="default"/>
          <w:b/>
          <w:bCs/>
          <w:i/>
          <w:iCs/>
          <w:u w:val="single"/>
          <w:lang w:val="en-GB"/>
        </w:rPr>
      </w:pPr>
      <w:r>
        <w:rPr>
          <w:rFonts w:hint="default"/>
          <w:b/>
          <w:bCs/>
          <w:i/>
          <w:iCs/>
          <w:u w:val="single"/>
          <w:lang w:val="en-GB"/>
        </w:rPr>
        <w:t>Contraindications.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Hypersensitivity reaction risk to the drug or any other related drugs such as esomeprazole,lansoprazole,pantoprazole.</w:t>
      </w:r>
    </w:p>
    <w:p>
      <w:pPr>
        <w:pStyle w:val="style0"/>
        <w:spacing w:lineRule="auto" w:line="480"/>
        <w:rPr>
          <w:rFonts w:hint="default"/>
          <w:b/>
          <w:bCs/>
          <w:i/>
          <w:iCs/>
          <w:u w:val="single"/>
          <w:lang w:val="en-GB"/>
        </w:rPr>
      </w:pPr>
      <w:r>
        <w:rPr>
          <w:rFonts w:hint="default"/>
          <w:b/>
          <w:bCs/>
          <w:i/>
          <w:iCs/>
          <w:u w:val="single"/>
          <w:lang w:val="en-GB"/>
        </w:rPr>
        <w:t>Medication considerations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Can cause increased incidences of C</w:t>
      </w:r>
      <w:r>
        <w:rPr>
          <w:rFonts w:hint="default"/>
          <w:b w:val="false"/>
          <w:bCs w:val="false"/>
          <w:i/>
          <w:iCs/>
          <w:u w:val="none"/>
          <w:lang w:val="en-GB"/>
        </w:rPr>
        <w:t>lostridium difficile</w:t>
      </w:r>
      <w:r>
        <w:rPr>
          <w:rFonts w:hint="default"/>
          <w:b w:val="false"/>
          <w:bCs w:val="false"/>
          <w:i w:val="false"/>
          <w:iCs w:val="false"/>
          <w:u w:val="none"/>
          <w:lang w:val="en-GB"/>
        </w:rPr>
        <w:t xml:space="preserve"> related diarrhea.</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Patients with liver disease require reduced doses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Patients with renal impairment do not require any dose adjustments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Inhibits hepatic isoenzyme CYP2C19 thus may alter metabolism of its substrate drugs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Therapy increases the risk of Enterobacteriae infections such as Salmonella and Campylobacter</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There is risk of emergence of Acute Tubulo-interstitial Nephritis at any point when taking Omeprazole</w:t>
      </w:r>
    </w:p>
    <w:p>
      <w:pPr>
        <w:pStyle w:val="style0"/>
        <w:spacing w:lineRule="auto" w:line="480"/>
        <w:rPr>
          <w:rFonts w:hint="default"/>
          <w:b/>
          <w:bCs/>
          <w:i/>
          <w:iCs/>
          <w:u w:val="single"/>
          <w:lang w:val="en-GB"/>
        </w:rPr>
      </w:pPr>
      <w:r>
        <w:rPr>
          <w:rFonts w:hint="default"/>
          <w:b/>
          <w:bCs/>
          <w:i/>
          <w:iCs/>
          <w:u w:val="single"/>
          <w:lang w:val="en-GB"/>
        </w:rPr>
        <w:t>Drug interactions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Interacts with methotrexate by increasing its serums concentration leading to toxicity.</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Causes a 20-26% reduction in Diazepam clearance</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Competitively inhibits phenytoin and Warfarin</w:t>
      </w:r>
    </w:p>
    <w:p>
      <w:pPr>
        <w:pStyle w:val="style0"/>
        <w:spacing w:lineRule="auto" w:line="480"/>
        <w:rPr>
          <w:rFonts w:hint="default"/>
          <w:b/>
          <w:bCs/>
          <w:i/>
          <w:iCs/>
          <w:u w:val="single"/>
          <w:lang w:val="en-GB"/>
        </w:rPr>
      </w:pPr>
      <w:r>
        <w:rPr>
          <w:rFonts w:hint="default"/>
          <w:b/>
          <w:bCs/>
          <w:i/>
          <w:iCs/>
          <w:u w:val="single"/>
          <w:lang w:val="en-GB"/>
        </w:rPr>
        <w:t>Medication effects.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Omeprazole is an orally administered drug that binds to the H+/K+ ATPase enzyme system of the parietal cell in the stomach. By doing this it inhibits secretion of  hydrogen ions into the gastric lumen. Secretion of hydrogen ions is the final step in gastric acid secretion.</w:t>
      </w:r>
    </w:p>
    <w:p>
      <w:pPr>
        <w:pStyle w:val="style0"/>
        <w:spacing w:lineRule="auto" w:line="480"/>
        <w:rPr>
          <w:rFonts w:hint="default"/>
          <w:b/>
          <w:bCs/>
          <w:i/>
          <w:iCs/>
          <w:u w:val="single"/>
          <w:lang w:val="en-GB"/>
        </w:rPr>
      </w:pPr>
      <w:r>
        <w:rPr>
          <w:rFonts w:hint="default"/>
          <w:b/>
          <w:bCs/>
          <w:i/>
          <w:iCs/>
          <w:u w:val="single"/>
          <w:lang w:val="en-GB"/>
        </w:rPr>
        <w:t>Medications side effects and adverse reactions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Side effects to the drug are experienced in 1-10% of patients prescribed and include the following:</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Headache(7%)</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Abdominal pain(5%)</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Diarrhea(4%)</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Nausea(4%)</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Vomiting(3%)</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Rash(2%)</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Cough(1%)</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Dizziness(2%)</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Prolonged use causes emergence of cutaneous or systemic Lupus Erythematosus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Increased risk of osteoporosis related fractures with prolonged use of greater than a year</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Hypomagnesia associated with PPI use also occurs with prolonged use. This cannot be corrected with supplements and requires discontinuation of the drug to be rectified.</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PPI usage for longer than a year results in the emergence of a fundic gland polyp</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Prolonged PPI usage of greater than 3 years results in cyanocobalamin deficiency(Vitamin B12)</w:t>
      </w:r>
    </w:p>
    <w:p>
      <w:pPr>
        <w:pStyle w:val="style0"/>
        <w:spacing w:lineRule="auto" w:line="480"/>
        <w:rPr>
          <w:rFonts w:hint="default"/>
          <w:b/>
          <w:bCs/>
          <w:i/>
          <w:iCs/>
          <w:u w:val="single"/>
          <w:lang w:val="en-GB"/>
        </w:rPr>
      </w:pPr>
      <w:r>
        <w:rPr>
          <w:rFonts w:hint="default"/>
          <w:b/>
          <w:bCs/>
          <w:i/>
          <w:iCs/>
          <w:u w:val="single"/>
          <w:lang w:val="en-GB"/>
        </w:rPr>
        <w:t>Use in Pregnancy.</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Despite there being inadequate  well-controlled studies in pregnant women there is inadequate data to show that Omeprazole has any  risk of congenital malformations if administered within the first trimester of pregnancy. This only applies if taken within the recommended dose. Studies in rats and rabbits however, show that Omeprazole is lethal to the embryo  if taken at a dose that is 3.4 to 34  times higher than the recommended for a 60Kg adult</w:t>
      </w:r>
    </w:p>
    <w:p>
      <w:pPr>
        <w:pStyle w:val="style0"/>
        <w:spacing w:lineRule="auto" w:line="480"/>
        <w:rPr>
          <w:rFonts w:hint="default"/>
          <w:b/>
          <w:bCs/>
          <w:i/>
          <w:iCs/>
          <w:u w:val="single"/>
          <w:lang w:val="en-GB"/>
        </w:rPr>
      </w:pPr>
      <w:r>
        <w:rPr>
          <w:rFonts w:hint="default"/>
          <w:b/>
          <w:bCs/>
          <w:i/>
          <w:iCs/>
          <w:u w:val="single"/>
          <w:lang w:val="en-GB"/>
        </w:rPr>
        <w:t>Use in pediatrics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Omeprazole is present in breast milk with concentrations peaking 3hrs after a 20 mg dose being less than 7% of the  serum concentration of the drug. There is risk of carcinogenicity associated with breast feeding an infant while under Omeprazole therapy thus nursing should be discontinued while under medication.</w:t>
      </w:r>
    </w:p>
    <w:p>
      <w:pPr>
        <w:pStyle w:val="style0"/>
        <w:spacing w:lineRule="auto" w:line="480"/>
        <w:rPr>
          <w:rFonts w:hint="default"/>
          <w:b/>
          <w:bCs/>
          <w:i/>
          <w:iCs/>
          <w:u w:val="single"/>
          <w:lang w:val="en-GB"/>
        </w:rPr>
      </w:pPr>
      <w:r>
        <w:rPr>
          <w:rFonts w:hint="default"/>
          <w:b/>
          <w:bCs/>
          <w:i/>
          <w:iCs/>
          <w:u w:val="single"/>
          <w:lang w:val="en-GB"/>
        </w:rPr>
        <w:t>Pharmacology</w:t>
      </w:r>
    </w:p>
    <w:p>
      <w:pPr>
        <w:pStyle w:val="style0"/>
        <w:spacing w:lineRule="auto" w:line="480"/>
        <w:rPr>
          <w:rFonts w:hint="default"/>
          <w:b/>
          <w:bCs/>
          <w:i/>
          <w:iCs/>
          <w:u w:val="none"/>
          <w:lang w:val="en-GB"/>
        </w:rPr>
      </w:pPr>
      <w:r>
        <w:rPr>
          <w:rFonts w:hint="default"/>
          <w:b/>
          <w:bCs/>
          <w:i/>
          <w:iCs/>
          <w:u w:val="none"/>
          <w:lang w:val="en-GB"/>
        </w:rPr>
        <w:t>Mechanism of Action.</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Omeprazole is an orally administered drug that binds to the H+/K+ ATPase enzyme system of the parietal cell in the stomach. By doing this it inhibits secretion of  hydrogen ions into the gastric lumen. Secretion of hydrogen ions is the final step in  basal and stimulated gastric acid secretion.  Once ingested , its acid-resistant enteric coat prevents degradation  by stomach acid. Its coating is then removed in the alkaline duodenum releasing the pro-drug that is taken to the cannaliculus of the parietal cell. In the cannaliculus the acidic environment activates the pro-drug into its active form . The active form of the drug interacts with a cysteine residue of H+/K+ ATPase pump to form a stable covalent bond preventing its mode of action. Turn-over of new H+/K+ ATPase enzymes is usually 18 hours.</w:t>
      </w:r>
    </w:p>
    <w:p>
      <w:pPr>
        <w:pStyle w:val="style0"/>
        <w:spacing w:lineRule="auto" w:line="480"/>
        <w:rPr>
          <w:rFonts w:hint="default"/>
          <w:b/>
          <w:bCs/>
          <w:i/>
          <w:iCs/>
          <w:u w:val="none"/>
          <w:lang w:val="en-GB"/>
        </w:rPr>
      </w:pPr>
      <w:r>
        <w:rPr>
          <w:rFonts w:hint="default"/>
          <w:b/>
          <w:bCs/>
          <w:i/>
          <w:iCs/>
          <w:u w:val="none"/>
          <w:lang w:val="en-GB"/>
        </w:rPr>
        <w:t>Absorption</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After absorption the bio-availability of Omeprazole is usually 30-40% with a 1 hour onset of its anti-secretory effect. The anti-secretory effect lasts for a duration of about 73 hours and peak plasma concentrations are attained at 0.5-3.5 hrs.Omeprazole is mostly transported protein bound(95%-96%). </w:t>
      </w:r>
    </w:p>
    <w:p>
      <w:pPr>
        <w:pStyle w:val="style0"/>
        <w:spacing w:lineRule="auto" w:line="480"/>
        <w:rPr>
          <w:rFonts w:hint="default"/>
          <w:b w:val="false"/>
          <w:bCs w:val="false"/>
          <w:i w:val="false"/>
          <w:iCs w:val="false"/>
          <w:u w:val="none"/>
          <w:lang w:val="en-GB"/>
        </w:rPr>
      </w:pPr>
      <w:r>
        <w:rPr>
          <w:rFonts w:hint="default"/>
          <w:b/>
          <w:bCs/>
          <w:i/>
          <w:iCs/>
          <w:u w:val="none"/>
          <w:lang w:val="en-GB"/>
        </w:rPr>
        <w:t>Metabolism</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Its metabolized extensively in the liver by enzyme CYP2C19 into metabolites such as Hydroxyomeprazole,omeprazole sulfone, omeprazole sulfide. Individuals deficient of CYP2C19 are slow metabolizers of the drug.</w:t>
      </w:r>
    </w:p>
    <w:p>
      <w:pPr>
        <w:pStyle w:val="style0"/>
        <w:spacing w:lineRule="auto" w:line="480"/>
        <w:rPr>
          <w:rFonts w:hint="default"/>
          <w:b/>
          <w:bCs/>
          <w:i w:val="false"/>
          <w:iCs w:val="false"/>
          <w:u w:val="none"/>
          <w:lang w:val="en-GB"/>
        </w:rPr>
      </w:pPr>
      <w:r>
        <w:rPr>
          <w:rFonts w:hint="default"/>
          <w:b/>
          <w:bCs/>
          <w:i w:val="false"/>
          <w:iCs w:val="false"/>
          <w:u w:val="none"/>
          <w:lang w:val="en-GB"/>
        </w:rPr>
        <w:t>Elimination.</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The drug has a half life of 0.5-1 hr which increases to 3 hours under hepatic impairement. Excretion is mainly 77% in urine and 16-19% in bile</w:t>
      </w:r>
    </w:p>
    <w:p>
      <w:pPr>
        <w:pStyle w:val="style0"/>
        <w:spacing w:lineRule="auto" w:line="480"/>
        <w:rPr>
          <w:rFonts w:hint="default"/>
          <w:b/>
          <w:bCs/>
          <w:i/>
          <w:iCs/>
          <w:u w:val="none"/>
          <w:lang w:val="en-GB"/>
        </w:rPr>
      </w:pPr>
    </w:p>
    <w:p>
      <w:pPr>
        <w:pStyle w:val="style0"/>
        <w:spacing w:lineRule="auto" w:line="480"/>
        <w:rPr>
          <w:rFonts w:hint="default"/>
          <w:b/>
          <w:bCs/>
          <w:i/>
          <w:iCs/>
          <w:u w:val="single"/>
          <w:lang w:val="en-GB"/>
        </w:rPr>
      </w:pPr>
      <w:r>
        <w:rPr>
          <w:rFonts w:hint="default"/>
          <w:b/>
          <w:bCs/>
          <w:i/>
          <w:iCs/>
          <w:u w:val="single"/>
          <w:lang w:val="en-GB"/>
        </w:rPr>
        <w:t>Abuse and dependency</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There is no recorded dependency associated with Omeprazole use </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However, studies show that Omeprazole and other PPIs are oftenly abused in FDA non-compliant prescriptions which include; Gastro-Intestinal prophylaxis(82%), Abdominal pain and nausea(9%),Non-cardiac chest pains(4%) among others.</w:t>
      </w:r>
    </w:p>
    <w:p>
      <w:pPr>
        <w:pStyle w:val="style0"/>
        <w:spacing w:lineRule="auto" w:line="480"/>
        <w:rPr>
          <w:rFonts w:hint="default"/>
          <w:b/>
          <w:bCs/>
          <w:i/>
          <w:iCs/>
          <w:u w:val="single"/>
          <w:lang w:val="en-GB"/>
        </w:rPr>
      </w:pPr>
      <w:r>
        <w:rPr>
          <w:rFonts w:hint="default"/>
          <w:b/>
          <w:bCs/>
          <w:i/>
          <w:iCs/>
          <w:u w:val="single"/>
          <w:lang w:val="en-GB"/>
        </w:rPr>
        <w:t>Toxicology</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Symptoms associated with Omeprazole overdose are  transient and include; Nausea, Diarrhea, Abdominal pain, Dizziness, apathy, depression and confusion. </w:t>
      </w:r>
    </w:p>
    <w:p>
      <w:pPr>
        <w:pStyle w:val="style0"/>
        <w:spacing w:lineRule="auto" w:line="480"/>
        <w:rPr>
          <w:rFonts w:hint="default"/>
          <w:b/>
          <w:bCs/>
          <w:i/>
          <w:iCs/>
          <w:u w:val="single"/>
          <w:lang w:val="en-GB"/>
        </w:rPr>
      </w:pPr>
      <w:r>
        <w:rPr>
          <w:rFonts w:hint="default"/>
          <w:b/>
          <w:bCs/>
          <w:i/>
          <w:iCs/>
          <w:u w:val="single"/>
          <w:lang w:val="en-GB"/>
        </w:rPr>
        <w:t>Specific dosage and use recommendations.</w:t>
      </w:r>
    </w:p>
    <w:p>
      <w:pPr>
        <w:pStyle w:val="style0"/>
        <w:spacing w:lineRule="auto" w:line="480"/>
        <w:rPr>
          <w:rFonts w:hint="default"/>
          <w:b w:val="false"/>
          <w:bCs w:val="false"/>
          <w:i w:val="false"/>
          <w:iCs w:val="false"/>
          <w:u w:val="none"/>
          <w:lang w:val="en-GB"/>
        </w:rPr>
      </w:pPr>
      <w:r>
        <w:rPr>
          <w:rFonts w:hint="default"/>
          <w:b w:val="false"/>
          <w:bCs w:val="false"/>
          <w:i/>
          <w:iCs/>
          <w:u w:val="none"/>
          <w:lang w:val="en-GB"/>
        </w:rPr>
        <w:t>Duodenal ulcer-</w:t>
      </w:r>
      <w:r>
        <w:rPr>
          <w:rFonts w:hint="default"/>
          <w:b w:val="false"/>
          <w:bCs w:val="false"/>
          <w:i w:val="false"/>
          <w:iCs w:val="false"/>
          <w:u w:val="none"/>
          <w:lang w:val="en-GB"/>
        </w:rPr>
        <w:t xml:space="preserve"> 20mg orally everyday for 4-8 weeks</w:t>
      </w:r>
    </w:p>
    <w:p>
      <w:pPr>
        <w:pStyle w:val="style0"/>
        <w:spacing w:lineRule="auto" w:line="480"/>
        <w:rPr>
          <w:rFonts w:hint="default"/>
          <w:b w:val="false"/>
          <w:bCs w:val="false"/>
          <w:i w:val="false"/>
          <w:iCs w:val="false"/>
          <w:u w:val="none"/>
          <w:lang w:val="en-GB"/>
        </w:rPr>
      </w:pPr>
      <w:r>
        <w:rPr>
          <w:rFonts w:hint="default"/>
          <w:b w:val="false"/>
          <w:bCs w:val="false"/>
          <w:i/>
          <w:iCs/>
          <w:u w:val="none"/>
          <w:lang w:val="en-GB"/>
        </w:rPr>
        <w:t>Helicobacter Pylori Infection</w:t>
      </w:r>
      <w:r>
        <w:rPr>
          <w:rFonts w:hint="default"/>
          <w:b w:val="false"/>
          <w:bCs w:val="false"/>
          <w:i w:val="false"/>
          <w:iCs w:val="false"/>
          <w:u w:val="none"/>
          <w:lang w:val="en-GB"/>
        </w:rPr>
        <w:t>- 20mg TD For 10 days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ab/>
      </w:r>
      <w:r>
        <w:rPr>
          <w:rFonts w:hint="default"/>
          <w:b w:val="false"/>
          <w:bCs w:val="false"/>
          <w:i w:val="false"/>
          <w:iCs w:val="false"/>
          <w:u w:val="none"/>
          <w:lang w:val="en-GB"/>
        </w:rPr>
        <w:tab/>
      </w:r>
      <w:r>
        <w:rPr>
          <w:rFonts w:hint="default"/>
          <w:b w:val="false"/>
          <w:bCs w:val="false"/>
          <w:i w:val="false"/>
          <w:iCs w:val="false"/>
          <w:u w:val="none"/>
          <w:lang w:val="en-GB"/>
        </w:rPr>
        <w:tab/>
      </w:r>
      <w:r>
        <w:rPr>
          <w:rFonts w:hint="default"/>
          <w:b w:val="false"/>
          <w:bCs w:val="false"/>
          <w:i w:val="false"/>
          <w:iCs w:val="false"/>
          <w:u w:val="none"/>
          <w:lang w:val="en-GB"/>
        </w:rPr>
        <w:t xml:space="preserve">       Amoxycillin 1000mg TD</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ab/>
      </w:r>
      <w:r>
        <w:rPr>
          <w:rFonts w:hint="default"/>
          <w:b w:val="false"/>
          <w:bCs w:val="false"/>
          <w:i w:val="false"/>
          <w:iCs w:val="false"/>
          <w:u w:val="none"/>
          <w:lang w:val="en-GB"/>
        </w:rPr>
        <w:tab/>
      </w:r>
      <w:r>
        <w:rPr>
          <w:rFonts w:hint="default"/>
          <w:b w:val="false"/>
          <w:bCs w:val="false"/>
          <w:i w:val="false"/>
          <w:iCs w:val="false"/>
          <w:u w:val="none"/>
          <w:lang w:val="en-GB"/>
        </w:rPr>
        <w:tab/>
      </w:r>
      <w:r>
        <w:rPr>
          <w:rFonts w:hint="default"/>
          <w:b w:val="false"/>
          <w:bCs w:val="false"/>
          <w:i w:val="false"/>
          <w:iCs w:val="false"/>
          <w:u w:val="none"/>
          <w:lang w:val="en-GB"/>
        </w:rPr>
        <w:t xml:space="preserve">       Clarithromycin 500 mg TD for 10-14 days</w:t>
      </w:r>
    </w:p>
    <w:p>
      <w:pPr>
        <w:pStyle w:val="style0"/>
        <w:spacing w:lineRule="auto" w:line="480"/>
        <w:rPr>
          <w:rFonts w:hint="default"/>
          <w:b w:val="false"/>
          <w:bCs w:val="false"/>
          <w:i w:val="false"/>
          <w:iCs w:val="false"/>
          <w:u w:val="none"/>
          <w:lang w:val="en-GB"/>
        </w:rPr>
      </w:pPr>
      <w:r>
        <w:rPr>
          <w:rFonts w:hint="default"/>
          <w:b w:val="false"/>
          <w:bCs w:val="false"/>
          <w:i/>
          <w:iCs/>
          <w:u w:val="none"/>
          <w:lang w:val="en-GB"/>
        </w:rPr>
        <w:t>Gastric Ulcer-</w:t>
      </w:r>
      <w:r>
        <w:rPr>
          <w:rFonts w:hint="default"/>
          <w:b w:val="false"/>
          <w:bCs w:val="false"/>
          <w:i w:val="false"/>
          <w:iCs w:val="false"/>
          <w:u w:val="none"/>
          <w:lang w:val="en-GB"/>
        </w:rPr>
        <w:t xml:space="preserve"> 40mg orally everyday for 4-8 weeks</w:t>
      </w:r>
    </w:p>
    <w:p>
      <w:pPr>
        <w:pStyle w:val="style0"/>
        <w:spacing w:lineRule="auto" w:line="480"/>
        <w:rPr>
          <w:rFonts w:hint="default"/>
          <w:b w:val="false"/>
          <w:bCs w:val="false"/>
          <w:i w:val="false"/>
          <w:iCs w:val="false"/>
          <w:u w:val="none"/>
          <w:lang w:val="en-GB"/>
        </w:rPr>
      </w:pPr>
      <w:r>
        <w:rPr>
          <w:rFonts w:hint="default"/>
          <w:b w:val="false"/>
          <w:bCs w:val="false"/>
          <w:i/>
          <w:iCs/>
          <w:u w:val="none"/>
          <w:lang w:val="en-GB"/>
        </w:rPr>
        <w:t>GERD-</w:t>
      </w:r>
      <w:r>
        <w:rPr>
          <w:rFonts w:hint="default"/>
          <w:b w:val="false"/>
          <w:bCs w:val="false"/>
          <w:i w:val="false"/>
          <w:iCs w:val="false"/>
          <w:u w:val="none"/>
          <w:lang w:val="en-GB"/>
        </w:rPr>
        <w:t xml:space="preserve"> Adults: 20mg orally everyday for 4 weeks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             Children  between 5-10 KG: 5mg orally OD </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             Children between 10-20Kg: 10mg orally OD</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              Children greater than 20KG: 20mg orally OD</w:t>
      </w:r>
    </w:p>
    <w:p>
      <w:pPr>
        <w:pStyle w:val="style0"/>
        <w:spacing w:lineRule="auto" w:line="480"/>
        <w:rPr>
          <w:rFonts w:hint="default"/>
          <w:b w:val="false"/>
          <w:bCs w:val="false"/>
          <w:i/>
          <w:iCs/>
          <w:u w:val="none"/>
          <w:lang w:val="en-GB"/>
        </w:rPr>
      </w:pPr>
      <w:r>
        <w:rPr>
          <w:rFonts w:hint="default"/>
          <w:b w:val="false"/>
          <w:bCs w:val="false"/>
          <w:i/>
          <w:iCs/>
          <w:u w:val="none"/>
          <w:lang w:val="en-GB"/>
        </w:rPr>
        <w:t>Erosive esophagitis</w:t>
      </w:r>
    </w:p>
    <w:p>
      <w:pPr>
        <w:pStyle w:val="style0"/>
        <w:spacing w:lineRule="auto" w:line="480"/>
        <w:rPr>
          <w:rFonts w:hint="default"/>
          <w:b w:val="false"/>
          <w:bCs w:val="false"/>
          <w:i w:val="false"/>
          <w:iCs w:val="false"/>
          <w:u w:val="none"/>
          <w:lang w:val="en-GB"/>
        </w:rPr>
      </w:pPr>
      <w:r>
        <w:rPr>
          <w:rFonts w:hint="default"/>
          <w:b w:val="false"/>
          <w:bCs w:val="false"/>
          <w:i/>
          <w:iCs/>
          <w:u w:val="none"/>
          <w:lang w:val="en-GB"/>
        </w:rPr>
        <w:t>Adult:</w:t>
      </w:r>
      <w:r>
        <w:rPr>
          <w:rFonts w:hint="default"/>
          <w:b w:val="false"/>
          <w:bCs w:val="false"/>
          <w:i w:val="false"/>
          <w:iCs w:val="false"/>
          <w:u w:val="none"/>
          <w:lang w:val="en-GB"/>
        </w:rPr>
        <w:t>20mg orally everyday for 4-8 weeks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           Maintenance: 20mg orally daily for 1 year</w:t>
      </w:r>
    </w:p>
    <w:p>
      <w:pPr>
        <w:pStyle w:val="style0"/>
        <w:spacing w:lineRule="auto" w:line="480"/>
        <w:rPr>
          <w:rFonts w:hint="default"/>
          <w:b w:val="false"/>
          <w:bCs w:val="false"/>
          <w:i/>
          <w:iCs/>
          <w:u w:val="none"/>
          <w:lang w:val="en-GB"/>
        </w:rPr>
      </w:pPr>
      <w:r>
        <w:rPr>
          <w:rFonts w:hint="default"/>
          <w:b w:val="false"/>
          <w:bCs w:val="false"/>
          <w:i/>
          <w:iCs/>
          <w:u w:val="none"/>
          <w:lang w:val="en-GB"/>
        </w:rPr>
        <w:t>Pediatric Treatment</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Children over one month to over 1 year: 3-5KG- 2.5mg once daily</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                                                                          5-10KG- 5mg once daily</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 xml:space="preserve">                                                                           10KG or greater- 10mg once daily</w:t>
      </w:r>
    </w:p>
    <w:p>
      <w:pPr>
        <w:pStyle w:val="style0"/>
        <w:spacing w:lineRule="auto" w:line="480"/>
        <w:rPr>
          <w:rFonts w:hint="default"/>
          <w:b w:val="false"/>
          <w:bCs w:val="false"/>
          <w:i w:val="false"/>
          <w:iCs w:val="false"/>
          <w:u w:val="none"/>
          <w:lang w:val="en-GB"/>
        </w:rPr>
      </w:pPr>
      <w:r>
        <w:rPr>
          <w:rFonts w:hint="default"/>
          <w:b w:val="false"/>
          <w:bCs w:val="false"/>
          <w:i/>
          <w:iCs/>
          <w:u w:val="none"/>
          <w:lang w:val="en-GB"/>
        </w:rPr>
        <w:t>Refractory duodenal Ulcer</w:t>
      </w:r>
      <w:r>
        <w:rPr>
          <w:rFonts w:hint="default"/>
          <w:b w:val="false"/>
          <w:bCs w:val="false"/>
          <w:i w:val="false"/>
          <w:iCs w:val="false"/>
          <w:u w:val="none"/>
          <w:lang w:val="en-GB"/>
        </w:rPr>
        <w:t>: 0.5-1.5mg/kg once daily for 8 weeks</w:t>
      </w:r>
    </w:p>
    <w:p>
      <w:pPr>
        <w:pStyle w:val="style0"/>
        <w:spacing w:lineRule="auto" w:line="480"/>
        <w:rPr>
          <w:rFonts w:hint="default"/>
          <w:b w:val="false"/>
          <w:bCs w:val="false"/>
          <w:i w:val="false"/>
          <w:iCs w:val="false"/>
          <w:u w:val="none"/>
          <w:lang w:val="en-GB"/>
        </w:rPr>
      </w:pPr>
      <w:r>
        <w:rPr>
          <w:rFonts w:hint="default"/>
          <w:b w:val="false"/>
          <w:bCs w:val="false"/>
          <w:i/>
          <w:iCs/>
          <w:u w:val="none"/>
          <w:lang w:val="en-GB"/>
        </w:rPr>
        <w:t>Zollinger-Elinson Synrdrome:</w:t>
      </w:r>
      <w:r>
        <w:rPr>
          <w:rFonts w:hint="default"/>
          <w:b w:val="false"/>
          <w:bCs w:val="false"/>
          <w:i w:val="false"/>
          <w:iCs w:val="false"/>
          <w:u w:val="none"/>
          <w:lang w:val="en-GB"/>
        </w:rPr>
        <w:t xml:space="preserve"> 60mg orally daily as an initial dose and up to 360 mg/day divides across 8 hours</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Therapy should not extend 12 months for children under one year</w:t>
      </w:r>
    </w:p>
    <w:p>
      <w:pPr>
        <w:pStyle w:val="style0"/>
        <w:spacing w:lineRule="auto" w:line="480"/>
        <w:rPr>
          <w:rFonts w:hint="default"/>
          <w:b w:val="false"/>
          <w:bCs w:val="false"/>
          <w:i w:val="false"/>
          <w:iCs w:val="false"/>
          <w:u w:val="none"/>
          <w:lang w:val="en-GB"/>
        </w:rPr>
      </w:pPr>
      <w:r>
        <w:rPr>
          <w:rFonts w:hint="default"/>
          <w:b w:val="false"/>
          <w:bCs w:val="false"/>
          <w:i w:val="false"/>
          <w:iCs w:val="false"/>
          <w:u w:val="none"/>
          <w:lang w:val="en-GB"/>
        </w:rPr>
        <w:t>REFERENCES.</w:t>
      </w:r>
    </w:p>
    <w:bookmarkStart w:id="0" w:name="_GoBack"/>
    <w:bookmarkEnd w:id="0"/>
    <w:p>
      <w:pPr>
        <w:pStyle w:val="style0"/>
        <w:rPr>
          <w:rFonts w:hint="default"/>
          <w:b w:val="false"/>
          <w:bCs w:val="false"/>
          <w:i w:val="false"/>
          <w:iCs w:val="false"/>
          <w:u w:val="none"/>
          <w:lang w:val="en-GB"/>
        </w:rPr>
      </w:pPr>
    </w:p>
    <w:sectPr>
      <w:headerReference w:type="default" r:id="rId2"/>
      <w:pgSz w:w="11906" w:h="16838" w:orient="portrait"/>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0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b/>
        <w:bCs/>
        <w:i w:val="false"/>
        <w:iCs w:val="false"/>
        <w:u w:val="single"/>
      </w:rPr>
    </w:pPr>
    <w:r>
      <w:rPr>
        <w:rFonts w:hint="default"/>
        <w:b/>
        <w:bCs/>
        <w:i w:val="false"/>
        <w:iCs w:val="false"/>
        <w:u w:val="single"/>
        <w:lang w:val="en-GB"/>
      </w:rPr>
      <w:t>MEDICATION FORMULA AND EMS USAGE ASSIGNMENT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 w:type="character" w:styleId="style85">
    <w:name w:val="Hyperlink"/>
    <w:basedOn w:val="style65"/>
    <w:next w:val="style85"/>
    <w:qFormat/>
    <w:uiPriority w:val="0"/>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Words>896</Words>
  <Pages>1</Pages>
  <Characters>5263</Characters>
  <Application>WPS Office</Application>
  <DocSecurity>0</DocSecurity>
  <Paragraphs>86</Paragraphs>
  <ScaleCrop>false</ScaleCrop>
  <LinksUpToDate>false</LinksUpToDate>
  <CharactersWithSpaces>6317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2021-04-04T14:52:00Z</dcterms:created>
  <dc:creator>Joyline</dc:creator>
  <lastModifiedBy>TECNO CC7</lastModifiedBy>
  <dcterms:modified xsi:type="dcterms:W3CDTF">2021-04-05T19:24:41Z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